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C424" w14:textId="3FFFA71E" w:rsidR="00663DF2" w:rsidRDefault="00CD0DF0" w:rsidP="006C1010">
      <w:pPr>
        <w:rPr>
          <w:rFonts w:ascii="Arial" w:hAnsi="Arial" w:cs="Arial"/>
          <w:b/>
          <w:bCs/>
          <w:sz w:val="28"/>
        </w:rPr>
      </w:pPr>
      <w:r>
        <w:rPr>
          <w:rFonts w:ascii="Arial" w:hAnsi="Arial" w:cs="Arial"/>
          <w:b/>
          <w:bCs/>
          <w:noProof/>
          <w:sz w:val="28"/>
          <w14:ligatures w14:val="standardContextual"/>
        </w:rPr>
        <w:drawing>
          <wp:inline distT="0" distB="0" distL="0" distR="0" wp14:anchorId="4DBAF1E7" wp14:editId="245F7AE5">
            <wp:extent cx="5731510" cy="1098550"/>
            <wp:effectExtent l="0" t="0" r="2540" b="6350"/>
            <wp:docPr id="1470166295"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66295" name="Picture 1" descr="A close-up of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98550"/>
                    </a:xfrm>
                    <a:prstGeom prst="rect">
                      <a:avLst/>
                    </a:prstGeom>
                  </pic:spPr>
                </pic:pic>
              </a:graphicData>
            </a:graphic>
          </wp:inline>
        </w:drawing>
      </w:r>
    </w:p>
    <w:p w14:paraId="550B2CB8" w14:textId="77777777" w:rsidR="00D9211C" w:rsidRDefault="00D9211C" w:rsidP="00663DF2">
      <w:pPr>
        <w:jc w:val="center"/>
        <w:rPr>
          <w:rFonts w:ascii="Arial" w:hAnsi="Arial" w:cs="Arial"/>
          <w:b/>
          <w:bCs/>
          <w:sz w:val="36"/>
          <w:szCs w:val="28"/>
        </w:rPr>
      </w:pPr>
    </w:p>
    <w:p w14:paraId="45FB90A2" w14:textId="55CDD903" w:rsidR="006C1010" w:rsidRPr="00663DF2" w:rsidRDefault="006C1010" w:rsidP="00663DF2">
      <w:pPr>
        <w:jc w:val="center"/>
        <w:rPr>
          <w:rFonts w:ascii="Arial" w:hAnsi="Arial" w:cs="Arial"/>
          <w:b/>
          <w:bCs/>
          <w:sz w:val="36"/>
          <w:szCs w:val="28"/>
        </w:rPr>
      </w:pPr>
      <w:r w:rsidRPr="00663DF2">
        <w:rPr>
          <w:rFonts w:ascii="Arial" w:hAnsi="Arial" w:cs="Arial"/>
          <w:b/>
          <w:bCs/>
          <w:sz w:val="36"/>
          <w:szCs w:val="28"/>
        </w:rPr>
        <w:t>GRIEVANCE POLICY</w:t>
      </w:r>
    </w:p>
    <w:p w14:paraId="5EE8684C" w14:textId="77777777" w:rsidR="006C1010" w:rsidRPr="00CB33BC" w:rsidRDefault="006C1010" w:rsidP="006C1010">
      <w:pPr>
        <w:rPr>
          <w:rFonts w:ascii="Arial" w:hAnsi="Arial" w:cs="Arial"/>
          <w:b/>
          <w:bCs/>
          <w:lang w:val="en-US"/>
        </w:rPr>
      </w:pPr>
      <w:r w:rsidRPr="00CB33BC">
        <w:rPr>
          <w:rFonts w:ascii="Arial" w:hAnsi="Arial" w:cs="Arial"/>
          <w:b/>
          <w:bCs/>
          <w:lang w:val="en-US"/>
        </w:rPr>
        <w:t>Introduction</w:t>
      </w:r>
    </w:p>
    <w:p w14:paraId="35C430D5" w14:textId="77777777"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1"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p>
    <w:p w14:paraId="6C1A6107" w14:textId="61EBFFE0"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also takes account of the ACAS guide on discipline and grievances at work. </w:t>
      </w:r>
      <w:hyperlink r:id="rId12"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w:t>
      </w:r>
    </w:p>
    <w:p w14:paraId="3EDA90A6" w14:textId="77777777" w:rsidR="006C1010" w:rsidRPr="006C1010" w:rsidRDefault="006C1010" w:rsidP="006C1010">
      <w:pPr>
        <w:numPr>
          <w:ilvl w:val="0"/>
          <w:numId w:val="3"/>
        </w:numPr>
        <w:tabs>
          <w:tab w:val="left" w:pos="0"/>
        </w:tabs>
        <w:rPr>
          <w:rFonts w:ascii="Arial" w:hAnsi="Arial" w:cs="Arial"/>
        </w:rPr>
      </w:pPr>
      <w:r>
        <w:rPr>
          <w:rFonts w:ascii="Arial" w:hAnsi="Arial" w:cs="Arial"/>
          <w:color w:val="000000"/>
        </w:rPr>
        <w:t xml:space="preserve">It also takes into account relevant law affecting Councils. </w:t>
      </w:r>
    </w:p>
    <w:p w14:paraId="14F61676" w14:textId="4B094CF8" w:rsidR="006C1010" w:rsidRPr="00CB33BC"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3FC86118" w14:textId="77777777" w:rsidR="006C1010" w:rsidRPr="00CB33BC" w:rsidRDefault="006C1010" w:rsidP="006C1010">
      <w:pPr>
        <w:keepNext/>
        <w:numPr>
          <w:ilvl w:val="0"/>
          <w:numId w:val="3"/>
        </w:numPr>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0541A05A"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This policy confirms: </w:t>
      </w:r>
    </w:p>
    <w:p w14:paraId="41B14CE0" w14:textId="77777777" w:rsidR="006C1010" w:rsidRPr="00CB33BC" w:rsidRDefault="006C1010" w:rsidP="006C1010">
      <w:pPr>
        <w:numPr>
          <w:ilvl w:val="0"/>
          <w:numId w:val="2"/>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xml:space="preserve">. This includes any meeting held with them to hear about, gather facts about, discuss, consider or resolve their grievance. </w:t>
      </w:r>
      <w:r w:rsidRPr="00CB33BC">
        <w:rPr>
          <w:rFonts w:ascii="Arial" w:hAnsi="Arial" w:cs="Arial"/>
          <w:lang w:val="en"/>
        </w:rPr>
        <w:t xml:space="preserve">The companion will be permitted to address the grievance/appeal meetings, to present the employee's case for </w:t>
      </w:r>
      <w:r>
        <w:rPr>
          <w:rFonts w:ascii="Arial" w:hAnsi="Arial" w:cs="Arial"/>
          <w:lang w:val="en"/>
        </w:rPr>
        <w:t>their</w:t>
      </w:r>
      <w:r w:rsidRPr="00CB33BC">
        <w:rPr>
          <w:rFonts w:ascii="Arial" w:hAnsi="Arial" w:cs="Arial"/>
          <w:lang w:val="en"/>
        </w:rPr>
        <w:t xml:space="preserve"> grievance/appeal and to confer with the employee. The companion cannot answer questions put to the employee, address the meeting against the employee’s wishes or prevent the employee from explaining </w:t>
      </w:r>
      <w:r>
        <w:rPr>
          <w:rFonts w:ascii="Arial" w:hAnsi="Arial" w:cs="Arial"/>
          <w:lang w:val="en"/>
        </w:rPr>
        <w:t>their</w:t>
      </w:r>
      <w:r w:rsidRPr="00CB33BC">
        <w:rPr>
          <w:rFonts w:ascii="Arial" w:hAnsi="Arial" w:cs="Arial"/>
          <w:lang w:val="en"/>
        </w:rPr>
        <w:t xml:space="preserve"> case.</w:t>
      </w:r>
    </w:p>
    <w:p w14:paraId="49DEFF59"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0AF6C83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386C638A"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lastRenderedPageBreak/>
        <w:t xml:space="preserve">an employee has the right to appeal against the decision about </w:t>
      </w:r>
      <w:r>
        <w:rPr>
          <w:rFonts w:ascii="Arial" w:hAnsi="Arial" w:cs="Arial"/>
          <w:lang w:val="en-US"/>
        </w:rPr>
        <w:t>their</w:t>
      </w:r>
      <w:r w:rsidRPr="00CB33BC">
        <w:rPr>
          <w:rFonts w:ascii="Arial" w:hAnsi="Arial" w:cs="Arial"/>
          <w:lang w:val="en-US"/>
        </w:rPr>
        <w:t xml:space="preserve"> grievance. The appeal decision is final</w:t>
      </w:r>
    </w:p>
    <w:p w14:paraId="31337263"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1DB7FDD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t>audio or video recordings of the proceedings at any stage of the grievance procedure are prohibited, unless agreed by all affected parties as a reasonable adjustment that takes account of an employee’s medical condition</w:t>
      </w:r>
    </w:p>
    <w:p w14:paraId="369295BF"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0879C66" w14:textId="023DF078"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if a grievance is not upheld, no disciplinary action will be taken against an employee if </w:t>
      </w:r>
      <w:r>
        <w:rPr>
          <w:rFonts w:ascii="Arial" w:hAnsi="Arial" w:cs="Arial"/>
          <w:lang w:val="en-US"/>
        </w:rPr>
        <w:t>they</w:t>
      </w:r>
      <w:r w:rsidRPr="00CB33BC">
        <w:rPr>
          <w:rFonts w:ascii="Arial" w:hAnsi="Arial" w:cs="Arial"/>
          <w:lang w:val="en-US"/>
        </w:rPr>
        <w:t xml:space="preserve"> raised the grievance in good faith</w:t>
      </w:r>
    </w:p>
    <w:p w14:paraId="5D87D0FD" w14:textId="77777777" w:rsidR="006C1010" w:rsidRPr="00CB33BC" w:rsidRDefault="006C1010" w:rsidP="006C1010">
      <w:pPr>
        <w:numPr>
          <w:ilvl w:val="0"/>
          <w:numId w:val="2"/>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3E69753E" w14:textId="77777777" w:rsidR="006C1010" w:rsidRPr="006C1010"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w:t>
      </w:r>
      <w:r>
        <w:rPr>
          <w:rFonts w:ascii="Arial" w:hAnsi="Arial" w:cs="Arial"/>
        </w:rPr>
        <w:t xml:space="preserve">only </w:t>
      </w:r>
      <w:r w:rsidRPr="00CB33BC">
        <w:rPr>
          <w:rFonts w:ascii="Arial" w:hAnsi="Arial" w:cs="Arial"/>
        </w:rPr>
        <w:t xml:space="preserve">use all stages of the grievance procedure </w:t>
      </w:r>
      <w:r>
        <w:rPr>
          <w:rFonts w:ascii="Arial" w:hAnsi="Arial" w:cs="Arial"/>
        </w:rPr>
        <w:t>i</w:t>
      </w:r>
      <w:r w:rsidRPr="00CB33BC">
        <w:rPr>
          <w:rFonts w:ascii="Arial" w:hAnsi="Arial" w:cs="Arial"/>
        </w:rPr>
        <w:t xml:space="preserve">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If the complaint about the councillor is not resolved at the informal stage, the employee can contact the monitoring officer of [[ ] council] who will inform the employee whether or not the complaint can be dealt with under the code of conduct. If it does not concern the code of conduct, the employee can make a formal complaint under the council’s grievance procedure (see paragraph 5)</w:t>
      </w:r>
    </w:p>
    <w:p w14:paraId="6EC3A49C" w14:textId="77777777" w:rsidR="006C1010" w:rsidRPr="00CB33BC"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Pr>
          <w:rFonts w:ascii="Arial" w:eastAsia="Times New Roman" w:hAnsi="Arial" w:cs="Arial"/>
          <w:lang w:val="en-US"/>
        </w:rPr>
        <w:t>the Council may engage external investigators, grievance or appeal panels for the purposes of the process.</w:t>
      </w:r>
    </w:p>
    <w:p w14:paraId="628EF3C0" w14:textId="77777777" w:rsidR="006C1010" w:rsidRPr="00CB33BC" w:rsidRDefault="006C1010" w:rsidP="006C1010">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councillors are properly trained and by protecting staff from bullying, harassment and all forms of discrimination</w:t>
      </w:r>
    </w:p>
    <w:p w14:paraId="2129E8FD" w14:textId="2369A752" w:rsidR="006C1010" w:rsidRPr="00CB33BC" w:rsidRDefault="006C1010" w:rsidP="006C1010">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w:t>
      </w:r>
      <w:r>
        <w:rPr>
          <w:rFonts w:ascii="Arial" w:hAnsi="Arial" w:cs="Arial"/>
          <w:sz w:val="22"/>
          <w:szCs w:val="22"/>
        </w:rPr>
        <w:t>their</w:t>
      </w:r>
      <w:r w:rsidRPr="00CB33BC">
        <w:rPr>
          <w:rFonts w:ascii="Arial" w:hAnsi="Arial" w:cs="Arial"/>
          <w:sz w:val="22"/>
          <w:szCs w:val="22"/>
        </w:rPr>
        <w:t xml:space="preserve"> safety within the working environment, whether or not it also concerns a complaint against a councillor, the employee should raise these safety concerns with </w:t>
      </w:r>
      <w:r>
        <w:rPr>
          <w:rFonts w:ascii="Arial" w:hAnsi="Arial" w:cs="Arial"/>
          <w:sz w:val="22"/>
          <w:szCs w:val="22"/>
        </w:rPr>
        <w:t>their</w:t>
      </w:r>
      <w:r w:rsidRPr="00CB33BC">
        <w:rPr>
          <w:rFonts w:ascii="Arial" w:hAnsi="Arial" w:cs="Arial"/>
          <w:sz w:val="22"/>
          <w:szCs w:val="22"/>
        </w:rPr>
        <w:t xml:space="preserve">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5FDBFC63"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156E50F0" w14:textId="77777777" w:rsidR="006C1010" w:rsidRPr="00CB33BC" w:rsidRDefault="006C1010" w:rsidP="006C1010">
      <w:pPr>
        <w:numPr>
          <w:ilvl w:val="0"/>
          <w:numId w:val="3"/>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w:t>
      </w:r>
      <w:r>
        <w:rPr>
          <w:rFonts w:ascii="Arial" w:hAnsi="Arial" w:cs="Arial"/>
          <w:lang w:val="en"/>
        </w:rPr>
        <w:lastRenderedPageBreak/>
        <w:t>their</w:t>
      </w:r>
      <w:r w:rsidRPr="00CB33BC">
        <w:rPr>
          <w:rFonts w:ascii="Arial" w:hAnsi="Arial" w:cs="Arial"/>
          <w:lang w:val="en"/>
        </w:rPr>
        <w:t xml:space="preserve"> manager to see if an informal solution is possible. Both should try to resolve the matter at this stage. If the employee does not want to discuss the grievance with </w:t>
      </w:r>
      <w:r>
        <w:rPr>
          <w:rFonts w:ascii="Arial" w:hAnsi="Arial" w:cs="Arial"/>
          <w:lang w:val="en"/>
        </w:rPr>
        <w:t>their</w:t>
      </w:r>
      <w:r w:rsidRPr="00CB33BC">
        <w:rPr>
          <w:rFonts w:ascii="Arial" w:hAnsi="Arial" w:cs="Arial"/>
          <w:lang w:val="en"/>
        </w:rPr>
        <w:t xml:space="preserve"> manager (for example, because it concerns the manager), the employee should contact the Chairman of the staffing committee or, if appropriate, another member of the staffing committee. If the employee’s complaint is about a councillor, it may be appropriate to involve that councillor at the informal stage. This will require both the employee’s and the councillor’s consent.</w:t>
      </w:r>
    </w:p>
    <w:p w14:paraId="4423BB0A" w14:textId="77777777" w:rsidR="006C1010" w:rsidRPr="00CB33BC" w:rsidRDefault="006C1010" w:rsidP="006C1010">
      <w:pPr>
        <w:rPr>
          <w:rFonts w:ascii="Arial" w:hAnsi="Arial" w:cs="Arial"/>
          <w:b/>
          <w:lang w:val="en"/>
        </w:rPr>
      </w:pPr>
      <w:r w:rsidRPr="00CB33BC">
        <w:rPr>
          <w:rFonts w:ascii="Arial" w:hAnsi="Arial" w:cs="Arial"/>
          <w:b/>
          <w:lang w:val="en"/>
        </w:rPr>
        <w:t>Formal grievance procedure</w:t>
      </w:r>
    </w:p>
    <w:p w14:paraId="29CB3CC9"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74E7AFCD"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staffing committee will appoint a sub-committee of </w:t>
      </w:r>
      <w:r>
        <w:rPr>
          <w:rFonts w:ascii="Arial" w:hAnsi="Arial" w:cs="Arial"/>
          <w:lang w:val="en-US"/>
        </w:rPr>
        <w:t xml:space="preserve">3 </w:t>
      </w:r>
      <w:r w:rsidRPr="00CB33BC">
        <w:rPr>
          <w:rFonts w:ascii="Arial" w:hAnsi="Arial" w:cs="Arial"/>
          <w:lang w:val="en-US"/>
        </w:rPr>
        <w:t>members to hear the grievance</w:t>
      </w:r>
      <w:r>
        <w:rPr>
          <w:rFonts w:ascii="Arial" w:hAnsi="Arial" w:cs="Arial"/>
          <w:lang w:val="en-US"/>
        </w:rPr>
        <w:t xml:space="preserve"> in the event that the grievance is raised by or relates to the Clerk. Where the grievance is not raised by or relates to the Clerk, the staffing committee may appoint the Clerk to hear the Grievance.</w:t>
      </w:r>
      <w:r w:rsidRPr="00CB33BC">
        <w:rPr>
          <w:rFonts w:ascii="Arial" w:hAnsi="Arial" w:cs="Arial"/>
          <w:lang w:val="en-US"/>
        </w:rPr>
        <w:t xml:space="preserve"> The sub-committee will appoint a Chairman from one of its members. </w:t>
      </w:r>
      <w:r w:rsidRPr="00CB33BC">
        <w:rPr>
          <w:rFonts w:ascii="Arial" w:hAnsi="Arial" w:cs="Arial"/>
          <w:color w:val="000000"/>
          <w:lang w:val="en"/>
        </w:rPr>
        <w:t>No councillor with direct involvement in the matter shall be appointed to the sub-committee.</w:t>
      </w:r>
      <w:r w:rsidRPr="00CB33BC">
        <w:rPr>
          <w:rFonts w:ascii="Arial" w:hAnsi="Arial" w:cs="Arial"/>
          <w:color w:val="000000"/>
        </w:rPr>
        <w:t xml:space="preserve"> </w:t>
      </w:r>
    </w:p>
    <w:p w14:paraId="775041EE" w14:textId="77777777" w:rsidR="006C1010" w:rsidRPr="00CB33BC" w:rsidRDefault="006C1010" w:rsidP="006C1010">
      <w:pPr>
        <w:tabs>
          <w:tab w:val="left" w:pos="0"/>
        </w:tabs>
        <w:rPr>
          <w:rFonts w:ascii="Arial" w:hAnsi="Arial" w:cs="Arial"/>
          <w:b/>
          <w:lang w:val="en-US"/>
        </w:rPr>
      </w:pPr>
      <w:r w:rsidRPr="00CB33BC">
        <w:rPr>
          <w:rFonts w:ascii="Arial" w:hAnsi="Arial" w:cs="Arial"/>
          <w:b/>
          <w:lang w:val="en-US"/>
        </w:rPr>
        <w:t>Investigation</w:t>
      </w:r>
    </w:p>
    <w:p w14:paraId="5CFE4E68"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w:t>
      </w:r>
      <w:r>
        <w:rPr>
          <w:rFonts w:ascii="Arial" w:hAnsi="Arial" w:cs="Arial"/>
          <w:lang w:val="en-US"/>
        </w:rPr>
        <w:t xml:space="preserve">The investigator may be an appropriate employee, Councillor or external party. </w:t>
      </w:r>
      <w:r w:rsidRPr="00CB33BC">
        <w:rPr>
          <w:rFonts w:ascii="Arial" w:hAnsi="Arial" w:cs="Arial"/>
          <w:lang w:val="en-US"/>
        </w:rPr>
        <w:t xml:space="preserve">The investigation may include interviews (e.g. the employee submitting the grievance, other employees, councillors or members of the public). </w:t>
      </w:r>
    </w:p>
    <w:p w14:paraId="2312CADE"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The investigator will summarise their findings (usually within an investigation report) and present their findings to the sub-committee. </w:t>
      </w:r>
    </w:p>
    <w:p w14:paraId="22FD6D62" w14:textId="77777777" w:rsidR="006C1010" w:rsidRPr="00CB33BC" w:rsidRDefault="006C1010" w:rsidP="006C1010">
      <w:pPr>
        <w:rPr>
          <w:rFonts w:ascii="Arial" w:hAnsi="Arial" w:cs="Arial"/>
          <w:b/>
          <w:lang w:val="en-US"/>
        </w:rPr>
      </w:pPr>
      <w:r w:rsidRPr="00CB33BC">
        <w:rPr>
          <w:rFonts w:ascii="Arial" w:hAnsi="Arial" w:cs="Arial"/>
          <w:b/>
          <w:lang w:val="en-US"/>
        </w:rPr>
        <w:t>Notification</w:t>
      </w:r>
    </w:p>
    <w:p w14:paraId="6F5A0E0F"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Within </w:t>
      </w:r>
      <w:r>
        <w:rPr>
          <w:rFonts w:ascii="Arial" w:hAnsi="Arial" w:cs="Arial"/>
          <w:lang w:val="en-US"/>
        </w:rPr>
        <w:t xml:space="preserve">14 calendar </w:t>
      </w:r>
      <w:r w:rsidRPr="00CB33BC">
        <w:rPr>
          <w:rFonts w:ascii="Arial" w:hAnsi="Arial" w:cs="Arial"/>
          <w:lang w:val="en-US"/>
        </w:rPr>
        <w:t>days of the Council receiving the employee’s grievance (this may be longer if there is an investigation), the employee will normally be asked, in writing, to attend a grievance meeting. The written notification will include the following:</w:t>
      </w:r>
    </w:p>
    <w:p w14:paraId="6CDA3DE6"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the names of its Chairman and other members</w:t>
      </w:r>
    </w:p>
    <w:p w14:paraId="0B85827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date, time and place for the meeting. The employee will be given reasonable notice of the meeting which will normally be within </w:t>
      </w:r>
      <w:r>
        <w:rPr>
          <w:rFonts w:ascii="Arial" w:hAnsi="Arial" w:cs="Arial"/>
          <w:lang w:val="en-US"/>
        </w:rPr>
        <w:t xml:space="preserve">35 calendar </w:t>
      </w:r>
      <w:r w:rsidRPr="00CB33BC">
        <w:rPr>
          <w:rFonts w:ascii="Arial" w:hAnsi="Arial" w:cs="Arial"/>
          <w:lang w:val="en-US"/>
        </w:rPr>
        <w:t>days of when the Council received the grievance</w:t>
      </w:r>
    </w:p>
    <w:p w14:paraId="1BEBB879"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3D10C33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a copy of the Council’s grievance policy</w:t>
      </w:r>
    </w:p>
    <w:p w14:paraId="471EC75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confirmation that, if necessary, witnesses may attend (or submit witness statements) on the employee’s behalf and that the employee should provide the names of </w:t>
      </w:r>
      <w:r>
        <w:rPr>
          <w:rFonts w:ascii="Arial" w:hAnsi="Arial" w:cs="Arial"/>
          <w:lang w:val="en-US"/>
        </w:rPr>
        <w:t>their</w:t>
      </w:r>
      <w:r w:rsidRPr="00CB33BC">
        <w:rPr>
          <w:rFonts w:ascii="Arial" w:hAnsi="Arial" w:cs="Arial"/>
          <w:lang w:val="en-US"/>
        </w:rPr>
        <w:t xml:space="preserve"> witnesses as soon as possible before the meeting</w:t>
      </w:r>
    </w:p>
    <w:p w14:paraId="02D30A37"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753B81C5"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06EE5FB4" w14:textId="77777777" w:rsidR="006C1010" w:rsidRPr="00CB33BC" w:rsidRDefault="006C1010" w:rsidP="006C1010">
      <w:pPr>
        <w:numPr>
          <w:ilvl w:val="0"/>
          <w:numId w:val="4"/>
        </w:numPr>
        <w:rPr>
          <w:rFonts w:ascii="Arial" w:hAnsi="Arial" w:cs="Arial"/>
          <w:lang w:val="en-US"/>
        </w:rPr>
      </w:pPr>
      <w:r w:rsidRPr="00CB33BC">
        <w:rPr>
          <w:rFonts w:ascii="Arial" w:hAnsi="Arial" w:cs="Arial"/>
          <w:lang w:val="en-US"/>
        </w:rPr>
        <w:lastRenderedPageBreak/>
        <w:t>an invitation for the employee to request any adjustments to be made for the hearing (for example where a person has a health condition).</w:t>
      </w:r>
    </w:p>
    <w:p w14:paraId="01DA2D9F" w14:textId="28BF6683" w:rsidR="006C1010" w:rsidRPr="00CB33BC" w:rsidRDefault="00663DF2" w:rsidP="00D9211C">
      <w:pPr>
        <w:spacing w:after="160" w:line="259" w:lineRule="auto"/>
        <w:rPr>
          <w:rFonts w:ascii="Arial" w:hAnsi="Arial" w:cs="Arial"/>
          <w:b/>
          <w:lang w:val="en"/>
        </w:rPr>
      </w:pPr>
      <w:r>
        <w:rPr>
          <w:rFonts w:ascii="Arial" w:hAnsi="Arial" w:cs="Arial"/>
          <w:b/>
          <w:lang w:val="en"/>
        </w:rPr>
        <w:br w:type="page"/>
      </w:r>
      <w:r w:rsidR="006C1010" w:rsidRPr="00CB33BC">
        <w:rPr>
          <w:rFonts w:ascii="Arial" w:hAnsi="Arial" w:cs="Arial"/>
          <w:b/>
          <w:lang w:val="en"/>
        </w:rPr>
        <w:lastRenderedPageBreak/>
        <w:t>The grievance meeting</w:t>
      </w:r>
    </w:p>
    <w:p w14:paraId="2A14ED34" w14:textId="77777777" w:rsidR="006C1010" w:rsidRPr="00CB33BC" w:rsidRDefault="006C1010" w:rsidP="006C1010">
      <w:pPr>
        <w:numPr>
          <w:ilvl w:val="0"/>
          <w:numId w:val="3"/>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7FDC9F75"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4DDE4BDB"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6410F03D" w14:textId="4AF060BA"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Chairman will ask the employee questions about the information presented and will want to understand what action does </w:t>
      </w:r>
      <w:r>
        <w:rPr>
          <w:rFonts w:ascii="Arial" w:hAnsi="Arial" w:cs="Arial"/>
          <w:lang w:val="en"/>
        </w:rPr>
        <w:t>they</w:t>
      </w:r>
      <w:r w:rsidRPr="00CB33BC">
        <w:rPr>
          <w:rFonts w:ascii="Arial" w:hAnsi="Arial" w:cs="Arial"/>
          <w:lang w:val="en"/>
        </w:rPr>
        <w:t xml:space="preserve"> wants the Council to take</w:t>
      </w:r>
    </w:p>
    <w:p w14:paraId="78DD52A3" w14:textId="77777777" w:rsidR="006C1010" w:rsidRPr="00CB33BC" w:rsidRDefault="006C1010" w:rsidP="006C1010">
      <w:pPr>
        <w:numPr>
          <w:ilvl w:val="0"/>
          <w:numId w:val="1"/>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5DB8286E"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7CF3EF7B" w14:textId="77777777" w:rsidR="006C1010" w:rsidRPr="00814E7C" w:rsidRDefault="006C1010" w:rsidP="006C1010">
      <w:pPr>
        <w:numPr>
          <w:ilvl w:val="1"/>
          <w:numId w:val="3"/>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353734A0" w14:textId="77777777" w:rsidR="006C1010" w:rsidRPr="00CB33BC" w:rsidRDefault="006C1010" w:rsidP="006C1010">
      <w:pPr>
        <w:pStyle w:val="ListParagraph"/>
        <w:keepNext/>
        <w:numPr>
          <w:ilvl w:val="0"/>
          <w:numId w:val="3"/>
        </w:numPr>
        <w:shd w:val="clear" w:color="auto" w:fill="FFFFFF"/>
        <w:tabs>
          <w:tab w:val="left" w:pos="567"/>
        </w:tabs>
        <w:outlineLvl w:val="2"/>
        <w:rPr>
          <w:rFonts w:ascii="Arial" w:hAnsi="Arial" w:cs="Arial"/>
          <w:b/>
          <w:bCs/>
          <w:lang w:val="en"/>
        </w:rPr>
      </w:pPr>
      <w:r w:rsidRPr="00CB33BC">
        <w:rPr>
          <w:rFonts w:ascii="Arial" w:hAnsi="Arial" w:cs="Arial"/>
          <w:lang w:val="en"/>
        </w:rPr>
        <w:t xml:space="preserve">The Chairman will provide the employee with the sub-committee’s decision, in writing, usually within </w:t>
      </w:r>
      <w:r>
        <w:rPr>
          <w:rFonts w:ascii="Arial" w:hAnsi="Arial" w:cs="Arial"/>
          <w:lang w:val="en"/>
        </w:rPr>
        <w:t xml:space="preserve">7 calendar </w:t>
      </w:r>
      <w:r w:rsidRPr="00CB33BC">
        <w:rPr>
          <w:rFonts w:ascii="Arial" w:hAnsi="Arial" w:cs="Arial"/>
          <w:lang w:val="en"/>
        </w:rPr>
        <w:t>days of the meeting</w:t>
      </w:r>
      <w:r>
        <w:rPr>
          <w:rFonts w:ascii="Arial" w:hAnsi="Arial" w:cs="Arial"/>
          <w:lang w:val="en"/>
        </w:rPr>
        <w:t xml:space="preserve"> though may be longer e.g. where further investigations are required</w:t>
      </w:r>
      <w:r w:rsidRPr="00CB33BC">
        <w:rPr>
          <w:rFonts w:ascii="Arial" w:hAnsi="Arial" w:cs="Arial"/>
          <w:lang w:val="en"/>
        </w:rPr>
        <w:t>. The letter will notify the employee of the action, if any, that the Council will take and of the employee’s right to appeal</w:t>
      </w:r>
      <w:r w:rsidRPr="00CB33BC">
        <w:rPr>
          <w:rFonts w:ascii="Arial" w:hAnsi="Arial" w:cs="Arial"/>
          <w:lang w:val="en-US"/>
        </w:rPr>
        <w:t xml:space="preserve">. </w:t>
      </w:r>
    </w:p>
    <w:p w14:paraId="21EAAA2E"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The appeal</w:t>
      </w:r>
    </w:p>
    <w:p w14:paraId="428F6833" w14:textId="00638C2A"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If an employee decides that </w:t>
      </w:r>
      <w:r>
        <w:rPr>
          <w:rFonts w:ascii="Arial" w:hAnsi="Arial" w:cs="Arial"/>
          <w:lang w:val="en"/>
        </w:rPr>
        <w:t>their</w:t>
      </w:r>
      <w:r w:rsidRPr="00CB33BC">
        <w:rPr>
          <w:rFonts w:ascii="Arial" w:hAnsi="Arial" w:cs="Arial"/>
          <w:lang w:val="en"/>
        </w:rPr>
        <w:t xml:space="preserve"> grievance has not been satisfactorily resolved by the sub-committee, </w:t>
      </w:r>
      <w:r>
        <w:rPr>
          <w:rFonts w:ascii="Arial" w:hAnsi="Arial" w:cs="Arial"/>
          <w:lang w:val="en"/>
        </w:rPr>
        <w:t>they</w:t>
      </w:r>
      <w:r w:rsidRPr="00CB33BC">
        <w:rPr>
          <w:rFonts w:ascii="Arial" w:hAnsi="Arial" w:cs="Arial"/>
          <w:lang w:val="en"/>
        </w:rPr>
        <w:t xml:space="preserve"> may submit a written appeal to the staffing committee. An appeal must be received by the Council within </w:t>
      </w:r>
      <w:r>
        <w:rPr>
          <w:rFonts w:ascii="Arial" w:hAnsi="Arial" w:cs="Arial"/>
          <w:lang w:val="en"/>
        </w:rPr>
        <w:t>7 calendar days</w:t>
      </w:r>
      <w:r w:rsidRPr="00CB33BC">
        <w:rPr>
          <w:rFonts w:ascii="Arial" w:hAnsi="Arial" w:cs="Arial"/>
          <w:lang w:val="en"/>
        </w:rPr>
        <w:t xml:space="preserve"> of the employee receiving the sub-committee’s decision and must specify the grounds of appeal. </w:t>
      </w:r>
    </w:p>
    <w:p w14:paraId="129D3CEE"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Appeals may be raised on a number of grounds, e.g.:</w:t>
      </w:r>
    </w:p>
    <w:p w14:paraId="3537261E"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1FBE1475"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the decision was not supported by the evidence</w:t>
      </w:r>
    </w:p>
    <w:p w14:paraId="5A2391E3"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21A092F3" w14:textId="77777777" w:rsidR="006C1010" w:rsidRPr="00CB33BC" w:rsidRDefault="006C1010" w:rsidP="006C1010">
      <w:pPr>
        <w:numPr>
          <w:ilvl w:val="1"/>
          <w:numId w:val="3"/>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283233D1" w14:textId="3FB5A411"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 xml:space="preserve">The appeal will be heard by a panel of </w:t>
      </w:r>
      <w:r>
        <w:rPr>
          <w:rFonts w:ascii="Arial" w:hAnsi="Arial" w:cs="Arial"/>
          <w:color w:val="000000"/>
          <w:lang w:val="en"/>
        </w:rPr>
        <w:t>3</w:t>
      </w:r>
      <w:r w:rsidRPr="00CB33BC">
        <w:rPr>
          <w:rFonts w:ascii="Arial" w:hAnsi="Arial" w:cs="Arial"/>
          <w:color w:val="000000"/>
          <w:lang w:val="en"/>
        </w:rPr>
        <w:t xml:space="preserv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Pr>
          <w:rFonts w:ascii="Arial" w:hAnsi="Arial" w:cs="Arial"/>
          <w:color w:val="000000"/>
          <w:lang w:val="en"/>
        </w:rPr>
        <w:t xml:space="preserve"> The Council may engage external parties if there are insufficient councillors to form the panel.</w:t>
      </w:r>
      <w:r w:rsidRPr="00CB33BC">
        <w:rPr>
          <w:rFonts w:ascii="Arial" w:hAnsi="Arial" w:cs="Arial"/>
          <w:color w:val="000000"/>
        </w:rPr>
        <w:t xml:space="preserve"> The appeal panel will appoint a Chairman from one of its members.</w:t>
      </w:r>
    </w:p>
    <w:p w14:paraId="28FAB3F7" w14:textId="5A40A8D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will be notified, in writing, usually within </w:t>
      </w:r>
      <w:r>
        <w:rPr>
          <w:rFonts w:ascii="Arial" w:hAnsi="Arial" w:cs="Arial"/>
          <w:lang w:val="en"/>
        </w:rPr>
        <w:t xml:space="preserve">14 calendar </w:t>
      </w:r>
      <w:r w:rsidRPr="00CB33BC">
        <w:rPr>
          <w:rFonts w:ascii="Arial" w:hAnsi="Arial" w:cs="Arial"/>
          <w:lang w:val="en"/>
        </w:rPr>
        <w:t xml:space="preserve">days of receipt of the appeal of the time, date and place of the appeal meeting. The meeting will normally take place within </w:t>
      </w:r>
      <w:r>
        <w:rPr>
          <w:rFonts w:ascii="Arial" w:hAnsi="Arial" w:cs="Arial"/>
          <w:lang w:val="en"/>
        </w:rPr>
        <w:t xml:space="preserve">35 calendar </w:t>
      </w:r>
      <w:r w:rsidRPr="00CB33BC">
        <w:rPr>
          <w:rFonts w:ascii="Arial" w:hAnsi="Arial" w:cs="Arial"/>
          <w:lang w:val="en"/>
        </w:rPr>
        <w:t xml:space="preserve">days of the Council’s receipt of the appeal. The employee will be advised that </w:t>
      </w:r>
      <w:r>
        <w:rPr>
          <w:rFonts w:ascii="Arial" w:hAnsi="Arial" w:cs="Arial"/>
          <w:lang w:val="en"/>
        </w:rPr>
        <w:t>they</w:t>
      </w:r>
      <w:r w:rsidRPr="00CB33BC">
        <w:rPr>
          <w:rFonts w:ascii="Arial" w:hAnsi="Arial" w:cs="Arial"/>
          <w:lang w:val="en"/>
        </w:rPr>
        <w:t xml:space="preserv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4D6D8CF" w14:textId="77777777"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31483B04"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3B0CDCAC"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sub-committee </w:t>
      </w:r>
    </w:p>
    <w:p w14:paraId="777A929D" w14:textId="77777777" w:rsidR="006C1010" w:rsidRPr="00CB33BC" w:rsidRDefault="006C1010" w:rsidP="006C1010">
      <w:pPr>
        <w:numPr>
          <w:ilvl w:val="1"/>
          <w:numId w:val="3"/>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345792F6"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lastRenderedPageBreak/>
        <w:t xml:space="preserve">The employee (or companion) will be asked to explain the grounds of appeal. </w:t>
      </w:r>
    </w:p>
    <w:p w14:paraId="1EADC002" w14:textId="567ED1B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Chairman will inform the employee that </w:t>
      </w:r>
      <w:r>
        <w:rPr>
          <w:rFonts w:ascii="Arial" w:hAnsi="Arial" w:cs="Arial"/>
          <w:lang w:val="en"/>
        </w:rPr>
        <w:t>they</w:t>
      </w:r>
      <w:r w:rsidRPr="00CB33BC">
        <w:rPr>
          <w:rFonts w:ascii="Arial" w:hAnsi="Arial" w:cs="Arial"/>
          <w:lang w:val="en"/>
        </w:rPr>
        <w:t xml:space="preserve"> will receive the decision and the panel’s reasons, in writing, </w:t>
      </w:r>
      <w:r>
        <w:rPr>
          <w:rFonts w:ascii="Arial" w:hAnsi="Arial" w:cs="Arial"/>
          <w:lang w:val="en"/>
        </w:rPr>
        <w:t xml:space="preserve">and when they are likely to receive the letter. This may be </w:t>
      </w:r>
      <w:r w:rsidRPr="00CB33BC">
        <w:rPr>
          <w:rFonts w:ascii="Arial" w:hAnsi="Arial" w:cs="Arial"/>
          <w:lang w:val="en"/>
        </w:rPr>
        <w:t xml:space="preserve">within </w:t>
      </w:r>
      <w:r>
        <w:rPr>
          <w:rFonts w:ascii="Arial" w:hAnsi="Arial" w:cs="Arial"/>
          <w:lang w:val="en"/>
        </w:rPr>
        <w:t xml:space="preserve">14 calendar </w:t>
      </w:r>
      <w:r w:rsidRPr="00CB33BC">
        <w:rPr>
          <w:rFonts w:ascii="Arial" w:hAnsi="Arial" w:cs="Arial"/>
          <w:lang w:val="en"/>
        </w:rPr>
        <w:t>days of the appeal meeting</w:t>
      </w:r>
      <w:r>
        <w:rPr>
          <w:rFonts w:ascii="Arial" w:hAnsi="Arial" w:cs="Arial"/>
          <w:lang w:val="en"/>
        </w:rPr>
        <w:t xml:space="preserve"> however will be longer where further investigations are required</w:t>
      </w:r>
      <w:r w:rsidRPr="00CB33BC">
        <w:rPr>
          <w:rFonts w:ascii="Arial" w:hAnsi="Arial" w:cs="Arial"/>
          <w:lang w:val="en"/>
        </w:rPr>
        <w:t xml:space="preserve">. </w:t>
      </w:r>
    </w:p>
    <w:p w14:paraId="0AABE200"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7F09C23C" w14:textId="661EE719" w:rsidR="006C1010" w:rsidRDefault="006C1010" w:rsidP="006C1010">
      <w:pPr>
        <w:numPr>
          <w:ilvl w:val="0"/>
          <w:numId w:val="3"/>
        </w:numPr>
        <w:shd w:val="clear" w:color="auto" w:fill="FFFFFF"/>
        <w:rPr>
          <w:rFonts w:ascii="Arial" w:hAnsi="Arial" w:cs="Arial"/>
          <w:lang w:val="en-US"/>
        </w:rPr>
      </w:pPr>
      <w:r w:rsidRPr="00663DF2">
        <w:rPr>
          <w:rFonts w:ascii="Arial" w:hAnsi="Arial" w:cs="Arial"/>
          <w:lang w:val="en-US"/>
        </w:rPr>
        <w:t>The decision of the appeal panel is final.</w:t>
      </w:r>
    </w:p>
    <w:p w14:paraId="1E0E5D0D" w14:textId="77777777" w:rsidR="009739F3" w:rsidRDefault="009739F3" w:rsidP="009739F3">
      <w:pPr>
        <w:shd w:val="clear" w:color="auto" w:fill="FFFFFF"/>
        <w:rPr>
          <w:rFonts w:ascii="Arial" w:hAnsi="Arial" w:cs="Arial"/>
          <w:lang w:val="en-US"/>
        </w:rPr>
      </w:pPr>
    </w:p>
    <w:p w14:paraId="6BBA20A4" w14:textId="77777777" w:rsidR="009739F3" w:rsidRDefault="009739F3" w:rsidP="009739F3">
      <w:pPr>
        <w:shd w:val="clear" w:color="auto" w:fill="FFFFFF"/>
        <w:rPr>
          <w:rFonts w:ascii="Arial" w:hAnsi="Arial" w:cs="Arial"/>
          <w:lang w:val="en-US"/>
        </w:rPr>
      </w:pPr>
    </w:p>
    <w:p w14:paraId="662D8207" w14:textId="77777777" w:rsidR="009739F3" w:rsidRDefault="009739F3" w:rsidP="009739F3">
      <w:pPr>
        <w:shd w:val="clear" w:color="auto" w:fill="FFFFFF"/>
        <w:rPr>
          <w:rFonts w:ascii="Arial" w:hAnsi="Arial" w:cs="Arial"/>
          <w:lang w:val="en-US"/>
        </w:rPr>
      </w:pPr>
    </w:p>
    <w:p w14:paraId="533A1C28" w14:textId="77777777" w:rsidR="009739F3" w:rsidRDefault="009739F3" w:rsidP="009739F3">
      <w:pPr>
        <w:shd w:val="clear" w:color="auto" w:fill="FFFFFF"/>
        <w:rPr>
          <w:rFonts w:ascii="Arial" w:hAnsi="Arial" w:cs="Arial"/>
          <w:lang w:val="en-US"/>
        </w:rPr>
      </w:pPr>
    </w:p>
    <w:p w14:paraId="613B3794" w14:textId="77777777" w:rsidR="009739F3" w:rsidRDefault="009739F3" w:rsidP="009739F3">
      <w:pPr>
        <w:shd w:val="clear" w:color="auto" w:fill="FFFFFF"/>
        <w:rPr>
          <w:rFonts w:ascii="Arial" w:hAnsi="Arial" w:cs="Arial"/>
          <w:lang w:val="en-US"/>
        </w:rPr>
      </w:pPr>
    </w:p>
    <w:p w14:paraId="43093A15" w14:textId="77777777" w:rsidR="009739F3" w:rsidRDefault="009739F3" w:rsidP="009739F3">
      <w:pPr>
        <w:shd w:val="clear" w:color="auto" w:fill="FFFFFF"/>
        <w:rPr>
          <w:rFonts w:ascii="Arial" w:hAnsi="Arial" w:cs="Arial"/>
          <w:lang w:val="en-US"/>
        </w:rPr>
      </w:pPr>
    </w:p>
    <w:p w14:paraId="08743349" w14:textId="77777777" w:rsidR="009739F3" w:rsidRDefault="009739F3" w:rsidP="009739F3">
      <w:pPr>
        <w:shd w:val="clear" w:color="auto" w:fill="FFFFFF"/>
        <w:rPr>
          <w:rFonts w:ascii="Arial" w:hAnsi="Arial" w:cs="Arial"/>
          <w:lang w:val="en-US"/>
        </w:rPr>
      </w:pPr>
    </w:p>
    <w:p w14:paraId="6FF23DE4" w14:textId="77777777" w:rsidR="009739F3" w:rsidRDefault="009739F3" w:rsidP="009739F3">
      <w:pPr>
        <w:shd w:val="clear" w:color="auto" w:fill="FFFFFF"/>
        <w:rPr>
          <w:rFonts w:ascii="Arial" w:hAnsi="Arial" w:cs="Arial"/>
          <w:lang w:val="en-US"/>
        </w:rPr>
      </w:pPr>
    </w:p>
    <w:p w14:paraId="38F61DDD" w14:textId="77777777" w:rsidR="009739F3" w:rsidRDefault="009739F3" w:rsidP="009739F3">
      <w:pPr>
        <w:shd w:val="clear" w:color="auto" w:fill="FFFFFF"/>
        <w:rPr>
          <w:rFonts w:ascii="Arial" w:hAnsi="Arial" w:cs="Arial"/>
          <w:lang w:val="en-US"/>
        </w:rPr>
      </w:pPr>
    </w:p>
    <w:p w14:paraId="5C012864" w14:textId="77777777" w:rsidR="009739F3" w:rsidRDefault="009739F3" w:rsidP="009739F3">
      <w:pPr>
        <w:shd w:val="clear" w:color="auto" w:fill="FFFFFF"/>
        <w:rPr>
          <w:rFonts w:ascii="Arial" w:hAnsi="Arial" w:cs="Arial"/>
          <w:lang w:val="en-US"/>
        </w:rPr>
      </w:pPr>
    </w:p>
    <w:p w14:paraId="09669B21" w14:textId="77777777" w:rsidR="009739F3" w:rsidRDefault="009739F3" w:rsidP="009739F3">
      <w:pPr>
        <w:shd w:val="clear" w:color="auto" w:fill="FFFFFF"/>
        <w:rPr>
          <w:rFonts w:ascii="Arial" w:hAnsi="Arial" w:cs="Arial"/>
          <w:lang w:val="en-US"/>
        </w:rPr>
      </w:pPr>
    </w:p>
    <w:p w14:paraId="53F082D4" w14:textId="77777777" w:rsidR="009739F3" w:rsidRDefault="009739F3" w:rsidP="009739F3">
      <w:pPr>
        <w:shd w:val="clear" w:color="auto" w:fill="FFFFFF"/>
        <w:rPr>
          <w:rFonts w:ascii="Arial" w:hAnsi="Arial" w:cs="Arial"/>
          <w:lang w:val="en-US"/>
        </w:rPr>
      </w:pPr>
    </w:p>
    <w:p w14:paraId="0EDB046A" w14:textId="77777777" w:rsidR="009739F3" w:rsidRDefault="009739F3" w:rsidP="009739F3">
      <w:pPr>
        <w:shd w:val="clear" w:color="auto" w:fill="FFFFFF"/>
        <w:rPr>
          <w:rFonts w:ascii="Arial" w:hAnsi="Arial" w:cs="Arial"/>
          <w:lang w:val="en-US"/>
        </w:rPr>
      </w:pPr>
    </w:p>
    <w:p w14:paraId="0E26517C" w14:textId="77777777" w:rsidR="009739F3" w:rsidRDefault="009739F3" w:rsidP="009739F3">
      <w:pPr>
        <w:shd w:val="clear" w:color="auto" w:fill="FFFFFF"/>
        <w:rPr>
          <w:rFonts w:ascii="Arial" w:hAnsi="Arial" w:cs="Arial"/>
          <w:lang w:val="en-US"/>
        </w:rPr>
      </w:pPr>
    </w:p>
    <w:p w14:paraId="6FEE1465" w14:textId="77777777" w:rsidR="009739F3" w:rsidRDefault="009739F3" w:rsidP="009739F3">
      <w:pPr>
        <w:shd w:val="clear" w:color="auto" w:fill="FFFFFF"/>
        <w:rPr>
          <w:rFonts w:ascii="Arial" w:hAnsi="Arial" w:cs="Arial"/>
          <w:lang w:val="en-US"/>
        </w:rPr>
      </w:pPr>
    </w:p>
    <w:p w14:paraId="312E5315" w14:textId="77777777" w:rsidR="009739F3" w:rsidRDefault="009739F3" w:rsidP="009739F3">
      <w:pPr>
        <w:shd w:val="clear" w:color="auto" w:fill="FFFFFF"/>
        <w:rPr>
          <w:rFonts w:ascii="Arial" w:hAnsi="Arial" w:cs="Arial"/>
          <w:lang w:val="en-US"/>
        </w:rPr>
      </w:pPr>
    </w:p>
    <w:p w14:paraId="0AB9DA70" w14:textId="77777777" w:rsidR="009739F3" w:rsidRDefault="009739F3" w:rsidP="009739F3">
      <w:pPr>
        <w:shd w:val="clear" w:color="auto" w:fill="FFFFFF"/>
        <w:rPr>
          <w:rFonts w:ascii="Arial" w:hAnsi="Arial" w:cs="Arial"/>
          <w:lang w:val="en-US"/>
        </w:rPr>
      </w:pPr>
    </w:p>
    <w:p w14:paraId="1C5A3B14" w14:textId="77777777" w:rsidR="009739F3" w:rsidRDefault="009739F3" w:rsidP="009739F3">
      <w:pPr>
        <w:shd w:val="clear" w:color="auto" w:fill="FFFFFF"/>
        <w:rPr>
          <w:rFonts w:ascii="Arial" w:hAnsi="Arial" w:cs="Arial"/>
          <w:lang w:val="en-US"/>
        </w:rPr>
      </w:pPr>
    </w:p>
    <w:p w14:paraId="2E08B5A6" w14:textId="77777777" w:rsidR="009739F3" w:rsidRDefault="009739F3" w:rsidP="009739F3">
      <w:pPr>
        <w:shd w:val="clear" w:color="auto" w:fill="FFFFFF"/>
        <w:rPr>
          <w:rFonts w:ascii="Arial" w:hAnsi="Arial" w:cs="Arial"/>
          <w:lang w:val="en-US"/>
        </w:rPr>
      </w:pPr>
    </w:p>
    <w:p w14:paraId="12B0F049" w14:textId="77777777" w:rsidR="009739F3" w:rsidRDefault="009739F3" w:rsidP="009739F3">
      <w:pPr>
        <w:shd w:val="clear" w:color="auto" w:fill="FFFFFF"/>
        <w:rPr>
          <w:rFonts w:ascii="Arial" w:hAnsi="Arial" w:cs="Arial"/>
          <w:lang w:val="en-US"/>
        </w:rPr>
      </w:pPr>
    </w:p>
    <w:p w14:paraId="31D1E09E" w14:textId="77777777" w:rsidR="009739F3" w:rsidRPr="0043751A" w:rsidRDefault="009739F3" w:rsidP="009739F3">
      <w:pPr>
        <w:rPr>
          <w:rFonts w:ascii="Arial" w:hAnsi="Arial" w:cs="Arial"/>
          <w:color w:val="000000" w:themeColor="text1"/>
          <w:sz w:val="24"/>
          <w:szCs w:val="24"/>
        </w:rPr>
      </w:pPr>
      <w:r w:rsidRPr="0043751A">
        <w:rPr>
          <w:rFonts w:ascii="Arial" w:hAnsi="Arial" w:cs="Arial"/>
          <w:color w:val="000000" w:themeColor="text1"/>
          <w:sz w:val="24"/>
          <w:szCs w:val="24"/>
        </w:rPr>
        <w:t>Adopted</w:t>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ab/>
      </w:r>
      <w:r w:rsidRPr="0043751A">
        <w:rPr>
          <w:rFonts w:ascii="Arial" w:hAnsi="Arial" w:cs="Arial"/>
          <w:color w:val="000000" w:themeColor="text1"/>
          <w:sz w:val="24"/>
          <w:szCs w:val="24"/>
        </w:rPr>
        <w:t>8 Jan 2026</w:t>
      </w:r>
    </w:p>
    <w:p w14:paraId="5BA2DEB2" w14:textId="5300B058" w:rsidR="009739F3" w:rsidRPr="0043751A" w:rsidRDefault="009739F3" w:rsidP="009739F3">
      <w:pPr>
        <w:rPr>
          <w:rFonts w:ascii="Arial" w:hAnsi="Arial" w:cs="Arial"/>
          <w:color w:val="000000" w:themeColor="text1"/>
          <w:sz w:val="24"/>
          <w:szCs w:val="24"/>
        </w:rPr>
      </w:pPr>
      <w:r w:rsidRPr="0043751A">
        <w:rPr>
          <w:rFonts w:ascii="Arial" w:hAnsi="Arial" w:cs="Arial"/>
          <w:color w:val="000000" w:themeColor="text1"/>
          <w:sz w:val="24"/>
          <w:szCs w:val="24"/>
        </w:rPr>
        <w:t xml:space="preserve">Minute reference: </w:t>
      </w:r>
      <w:r>
        <w:rPr>
          <w:rFonts w:ascii="Arial" w:hAnsi="Arial" w:cs="Arial"/>
          <w:color w:val="000000" w:themeColor="text1"/>
          <w:sz w:val="24"/>
          <w:szCs w:val="24"/>
        </w:rPr>
        <w:tab/>
      </w:r>
      <w:r w:rsidRPr="0043751A">
        <w:rPr>
          <w:rFonts w:ascii="Arial" w:hAnsi="Arial" w:cs="Arial"/>
          <w:color w:val="000000" w:themeColor="text1"/>
          <w:sz w:val="24"/>
          <w:szCs w:val="24"/>
        </w:rPr>
        <w:t xml:space="preserve">129) </w:t>
      </w:r>
      <w:r>
        <w:rPr>
          <w:rFonts w:ascii="Arial" w:hAnsi="Arial" w:cs="Arial"/>
          <w:color w:val="000000" w:themeColor="text1"/>
          <w:sz w:val="24"/>
          <w:szCs w:val="24"/>
        </w:rPr>
        <w:t>c</w:t>
      </w:r>
      <w:r w:rsidRPr="0043751A">
        <w:rPr>
          <w:rFonts w:ascii="Arial" w:hAnsi="Arial" w:cs="Arial"/>
          <w:color w:val="000000" w:themeColor="text1"/>
          <w:sz w:val="24"/>
          <w:szCs w:val="24"/>
        </w:rPr>
        <w:t>)</w:t>
      </w:r>
    </w:p>
    <w:p w14:paraId="12462F94" w14:textId="77777777" w:rsidR="009739F3" w:rsidRPr="0043751A" w:rsidRDefault="009739F3" w:rsidP="009739F3">
      <w:pPr>
        <w:rPr>
          <w:rFonts w:ascii="Arial" w:hAnsi="Arial" w:cs="Arial"/>
          <w:color w:val="000000" w:themeColor="text1"/>
        </w:rPr>
      </w:pPr>
      <w:r w:rsidRPr="0043751A">
        <w:rPr>
          <w:rFonts w:ascii="Arial" w:hAnsi="Arial" w:cs="Arial"/>
          <w:color w:val="000000" w:themeColor="text1"/>
          <w:sz w:val="24"/>
          <w:szCs w:val="24"/>
        </w:rPr>
        <w:t>Review date:</w:t>
      </w:r>
      <w:r>
        <w:rPr>
          <w:rFonts w:ascii="Arial" w:hAnsi="Arial" w:cs="Arial"/>
          <w:color w:val="000000" w:themeColor="text1"/>
          <w:sz w:val="24"/>
          <w:szCs w:val="24"/>
        </w:rPr>
        <w:tab/>
      </w:r>
      <w:r>
        <w:rPr>
          <w:rFonts w:ascii="Arial" w:hAnsi="Arial" w:cs="Arial"/>
          <w:color w:val="000000" w:themeColor="text1"/>
          <w:sz w:val="24"/>
          <w:szCs w:val="24"/>
        </w:rPr>
        <w:tab/>
      </w:r>
      <w:r w:rsidRPr="0043751A">
        <w:rPr>
          <w:rFonts w:ascii="Arial" w:hAnsi="Arial" w:cs="Arial"/>
          <w:color w:val="000000" w:themeColor="text1"/>
          <w:sz w:val="24"/>
          <w:szCs w:val="24"/>
        </w:rPr>
        <w:t>January 2027</w:t>
      </w:r>
    </w:p>
    <w:sectPr w:rsidR="009739F3" w:rsidRPr="0043751A" w:rsidSect="00663DF2">
      <w:footerReference w:type="default" r:id="rId13"/>
      <w:pgSz w:w="11906" w:h="16838"/>
      <w:pgMar w:top="709"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D638" w14:textId="77777777" w:rsidR="002C2FB8" w:rsidRDefault="002C2FB8" w:rsidP="006C1010">
      <w:pPr>
        <w:spacing w:after="0" w:line="240" w:lineRule="auto"/>
      </w:pPr>
      <w:r>
        <w:separator/>
      </w:r>
    </w:p>
  </w:endnote>
  <w:endnote w:type="continuationSeparator" w:id="0">
    <w:p w14:paraId="55739865" w14:textId="77777777" w:rsidR="002C2FB8" w:rsidRDefault="002C2FB8" w:rsidP="006C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2FB" w14:textId="77777777" w:rsidR="006C1010" w:rsidRPr="00390A24" w:rsidRDefault="006C1010">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p w14:paraId="64F4A1FD" w14:textId="77777777" w:rsidR="006C1010" w:rsidRPr="00815732" w:rsidRDefault="006C1010"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6F9B" w14:textId="77777777" w:rsidR="002C2FB8" w:rsidRDefault="002C2FB8" w:rsidP="006C1010">
      <w:pPr>
        <w:spacing w:after="0" w:line="240" w:lineRule="auto"/>
      </w:pPr>
      <w:r>
        <w:separator/>
      </w:r>
    </w:p>
  </w:footnote>
  <w:footnote w:type="continuationSeparator" w:id="0">
    <w:p w14:paraId="11BE944D" w14:textId="77777777" w:rsidR="002C2FB8" w:rsidRDefault="002C2FB8" w:rsidP="006C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916239244">
    <w:abstractNumId w:val="0"/>
  </w:num>
  <w:num w:numId="2" w16cid:durableId="1670601387">
    <w:abstractNumId w:val="3"/>
  </w:num>
  <w:num w:numId="3" w16cid:durableId="1575581758">
    <w:abstractNumId w:val="2"/>
  </w:num>
  <w:num w:numId="4" w16cid:durableId="183567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14671D"/>
    <w:rsid w:val="002C2FB8"/>
    <w:rsid w:val="00551DEF"/>
    <w:rsid w:val="00663DF2"/>
    <w:rsid w:val="006C1010"/>
    <w:rsid w:val="00901362"/>
    <w:rsid w:val="009739F3"/>
    <w:rsid w:val="00CD0DF0"/>
    <w:rsid w:val="00D9211C"/>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312B9"/>
  <w15:chartTrackingRefBased/>
  <w15:docId w15:val="{17108B11-C8D2-494D-AB79-4BACCC9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10"/>
    <w:pPr>
      <w:spacing w:after="200" w:line="276" w:lineRule="auto"/>
    </w:pPr>
    <w:rPr>
      <w:kern w:val="0"/>
      <w14:ligatures w14:val="none"/>
    </w:rPr>
  </w:style>
  <w:style w:type="paragraph" w:styleId="Heading1">
    <w:name w:val="heading 1"/>
    <w:basedOn w:val="Normal"/>
    <w:next w:val="Normal"/>
    <w:link w:val="Heading1Char"/>
    <w:uiPriority w:val="9"/>
    <w:qFormat/>
    <w:rsid w:val="006C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10"/>
    <w:rPr>
      <w:rFonts w:eastAsiaTheme="majorEastAsia" w:cstheme="majorBidi"/>
      <w:color w:val="272727" w:themeColor="text1" w:themeTint="D8"/>
    </w:rPr>
  </w:style>
  <w:style w:type="paragraph" w:styleId="Title">
    <w:name w:val="Title"/>
    <w:basedOn w:val="Normal"/>
    <w:next w:val="Normal"/>
    <w:link w:val="Title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10"/>
    <w:pPr>
      <w:spacing w:before="160"/>
      <w:jc w:val="center"/>
    </w:pPr>
    <w:rPr>
      <w:i/>
      <w:iCs/>
      <w:color w:val="404040" w:themeColor="text1" w:themeTint="BF"/>
    </w:rPr>
  </w:style>
  <w:style w:type="character" w:customStyle="1" w:styleId="QuoteChar">
    <w:name w:val="Quote Char"/>
    <w:basedOn w:val="DefaultParagraphFont"/>
    <w:link w:val="Quote"/>
    <w:uiPriority w:val="29"/>
    <w:rsid w:val="006C1010"/>
    <w:rPr>
      <w:i/>
      <w:iCs/>
      <w:color w:val="404040" w:themeColor="text1" w:themeTint="BF"/>
    </w:rPr>
  </w:style>
  <w:style w:type="paragraph" w:styleId="ListParagraph">
    <w:name w:val="List Paragraph"/>
    <w:basedOn w:val="Normal"/>
    <w:uiPriority w:val="34"/>
    <w:qFormat/>
    <w:rsid w:val="006C1010"/>
    <w:pPr>
      <w:ind w:left="720"/>
      <w:contextualSpacing/>
    </w:pPr>
  </w:style>
  <w:style w:type="character" w:styleId="IntenseEmphasis">
    <w:name w:val="Intense Emphasis"/>
    <w:basedOn w:val="DefaultParagraphFont"/>
    <w:uiPriority w:val="21"/>
    <w:qFormat/>
    <w:rsid w:val="006C1010"/>
    <w:rPr>
      <w:i/>
      <w:iCs/>
      <w:color w:val="0F4761" w:themeColor="accent1" w:themeShade="BF"/>
    </w:rPr>
  </w:style>
  <w:style w:type="paragraph" w:styleId="IntenseQuote">
    <w:name w:val="Intense Quote"/>
    <w:basedOn w:val="Normal"/>
    <w:next w:val="Normal"/>
    <w:link w:val="IntenseQuote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10"/>
    <w:rPr>
      <w:i/>
      <w:iCs/>
      <w:color w:val="0F4761" w:themeColor="accent1" w:themeShade="BF"/>
    </w:rPr>
  </w:style>
  <w:style w:type="character" w:styleId="IntenseReference">
    <w:name w:val="Intense Reference"/>
    <w:basedOn w:val="DefaultParagraphFont"/>
    <w:uiPriority w:val="32"/>
    <w:qFormat/>
    <w:rsid w:val="006C1010"/>
    <w:rPr>
      <w:b/>
      <w:bCs/>
      <w:smallCaps/>
      <w:color w:val="0F4761" w:themeColor="accent1" w:themeShade="BF"/>
      <w:spacing w:val="5"/>
    </w:rPr>
  </w:style>
  <w:style w:type="paragraph" w:styleId="BalloonText">
    <w:name w:val="Balloon Text"/>
    <w:basedOn w:val="Normal"/>
    <w:link w:val="BalloonTextChar"/>
    <w:uiPriority w:val="99"/>
    <w:semiHidden/>
    <w:unhideWhenUsed/>
    <w:rsid w:val="006C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10"/>
    <w:rPr>
      <w:rFonts w:ascii="Tahoma" w:hAnsi="Tahoma" w:cs="Tahoma"/>
      <w:kern w:val="0"/>
      <w:sz w:val="16"/>
      <w:szCs w:val="16"/>
      <w14:ligatures w14:val="none"/>
    </w:rPr>
  </w:style>
  <w:style w:type="paragraph" w:styleId="Header">
    <w:name w:val="header"/>
    <w:basedOn w:val="Normal"/>
    <w:link w:val="HeaderChar"/>
    <w:uiPriority w:val="99"/>
    <w:unhideWhenUsed/>
    <w:rsid w:val="006C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10"/>
    <w:rPr>
      <w:kern w:val="0"/>
      <w14:ligatures w14:val="none"/>
    </w:rPr>
  </w:style>
  <w:style w:type="character" w:styleId="Hyperlink">
    <w:name w:val="Hyperlink"/>
    <w:basedOn w:val="DefaultParagraphFont"/>
    <w:uiPriority w:val="99"/>
    <w:unhideWhenUsed/>
    <w:rsid w:val="006C1010"/>
    <w:rPr>
      <w:color w:val="467886" w:themeColor="hyperlink"/>
      <w:u w:val="single"/>
    </w:rPr>
  </w:style>
  <w:style w:type="paragraph" w:styleId="NormalWeb">
    <w:name w:val="Normal (Web)"/>
    <w:basedOn w:val="Normal"/>
    <w:uiPriority w:val="99"/>
    <w:unhideWhenUsed/>
    <w:rsid w:val="006C10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as.org.uk/media/1043/Discipline-and-grievances-at-work-The-Acas-guide/pdf/DG_Guide_Feb_201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as.org.uk/index.aspx?articleid=21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39a16eee71fceaeea2c5b595822c53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e78b2c2f8e4a566d4c2b7adba678c866"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6DD81-2BDB-4B19-BEB8-A9349C93306D}">
  <ds:schemaRefs>
    <ds:schemaRef ds:uri="http://schemas.microsoft.com/sharepoint/v3/contenttype/forms"/>
  </ds:schemaRefs>
</ds:datastoreItem>
</file>

<file path=customXml/itemProps2.xml><?xml version="1.0" encoding="utf-8"?>
<ds:datastoreItem xmlns:ds="http://schemas.openxmlformats.org/officeDocument/2006/customXml" ds:itemID="{6FB5904D-C0F0-4D3A-ADB4-964949656020}">
  <ds:schemaRefs>
    <ds:schemaRef ds:uri="http://schemas.microsoft.com/office/2006/metadata/properties"/>
    <ds:schemaRef ds:uri="http://schemas.microsoft.com/office/infopath/2007/PartnerControls"/>
    <ds:schemaRef ds:uri="992412f8-ce7d-47f4-b8b4-a5be5b0cf393"/>
    <ds:schemaRef ds:uri="929fc066-f7d6-4fd1-be03-60d981000813"/>
    <ds:schemaRef ds:uri="cffc1f73-54bf-4a32-a505-5231d3ce87f7"/>
    <ds:schemaRef ds:uri="27aaa98c-6ecc-4b22-8432-9f4477f61274"/>
  </ds:schemaRefs>
</ds:datastoreItem>
</file>

<file path=customXml/itemProps3.xml><?xml version="1.0" encoding="utf-8"?>
<ds:datastoreItem xmlns:ds="http://schemas.openxmlformats.org/officeDocument/2006/customXml" ds:itemID="{FCF68FED-F599-47A4-ABFD-E330671ED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1961</Words>
  <Characters>10359</Characters>
  <Application>Microsoft Office Word</Application>
  <DocSecurity>0</DocSecurity>
  <Lines>184</Lines>
  <Paragraphs>78</Paragraphs>
  <ScaleCrop>false</ScaleCrop>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Kelly Harvey</cp:lastModifiedBy>
  <cp:revision>5</cp:revision>
  <dcterms:created xsi:type="dcterms:W3CDTF">2026-01-02T16:10:00Z</dcterms:created>
  <dcterms:modified xsi:type="dcterms:W3CDTF">2026-01-14T13:47:00Z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0x010100052B5D0BB0C780459D6F9982A624F71D</vt:lpwstr>
  </property>
</Properties>
</file>